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70" w:rsidRPr="00547570" w:rsidRDefault="00547570" w:rsidP="00547570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547570" w:rsidRPr="00547570" w:rsidTr="005C46B8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jc w:val="center"/>
              <w:rPr>
                <w:rFonts w:ascii="Candara" w:eastAsia="Times New Roman" w:hAnsi="Candara" w:cs="Times New Roman"/>
                <w:b/>
                <w:sz w:val="36"/>
                <w:szCs w:val="36"/>
              </w:rPr>
            </w:pPr>
            <w:r w:rsidRPr="00547570">
              <w:rPr>
                <w:rFonts w:ascii="Candara" w:eastAsia="Times New Roman" w:hAnsi="Candara" w:cs="Times New Roman"/>
                <w:b/>
                <w:sz w:val="36"/>
                <w:szCs w:val="36"/>
              </w:rPr>
              <w:t>Course unit</w:t>
            </w:r>
          </w:p>
          <w:p w:rsidR="00547570" w:rsidRPr="00547570" w:rsidRDefault="00547570" w:rsidP="00547570">
            <w:pPr>
              <w:suppressAutoHyphens/>
              <w:spacing w:after="120"/>
              <w:contextualSpacing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</w:rPr>
            </w:pPr>
            <w:r w:rsidRPr="00547570">
              <w:rPr>
                <w:rFonts w:ascii="Candara" w:eastAsia="Times New Roman" w:hAnsi="Candara" w:cs="Times New Roman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pacing w:after="200"/>
              <w:contextualSpacing/>
              <w:jc w:val="center"/>
              <w:rPr>
                <w:rFonts w:ascii="Candara" w:eastAsia="Times New Roman" w:hAnsi="Candara" w:cs="Times New Roman"/>
                <w:b/>
                <w:color w:val="548DD4"/>
                <w:sz w:val="32"/>
                <w:szCs w:val="32"/>
              </w:rPr>
            </w:pPr>
            <w:r w:rsidRPr="00547570">
              <w:rPr>
                <w:rFonts w:ascii="Candara" w:eastAsia="Times New Roman" w:hAnsi="Candara" w:cs="Times New Roman"/>
                <w:b/>
                <w:noProof/>
                <w:color w:val="548DD4"/>
                <w:sz w:val="32"/>
                <w:szCs w:val="32"/>
                <w:lang w:eastAsia="en-GB"/>
              </w:rPr>
              <w:drawing>
                <wp:inline distT="0" distB="0" distL="0" distR="0" wp14:anchorId="4D3EEAA5" wp14:editId="01BCA093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pacing w:after="200" w:line="276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8D8B5" wp14:editId="1D4E5F2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570" w:rsidRDefault="00547570" w:rsidP="00547570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04DE86" wp14:editId="7AD9BB8E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8D8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547570" w:rsidRDefault="00547570" w:rsidP="00547570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04DE86" wp14:editId="7AD9BB8E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70" w:rsidRPr="00547570" w:rsidRDefault="00547570" w:rsidP="00547570">
            <w:pPr>
              <w:suppressAutoHyphens/>
              <w:spacing w:after="120" w:line="264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547570" w:rsidRPr="00547570" w:rsidTr="005C46B8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jc w:val="center"/>
              <w:rPr>
                <w:rFonts w:ascii="Candara" w:eastAsia="Times New Roman" w:hAnsi="Candara" w:cs="Times New Roman"/>
                <w:noProof/>
                <w:sz w:val="20"/>
                <w:szCs w:val="20"/>
                <w:lang w:eastAsia="zh-TW"/>
              </w:rPr>
            </w:pPr>
            <w:r w:rsidRPr="00547570">
              <w:rPr>
                <w:rFonts w:ascii="Candara" w:eastAsia="Times New Roman" w:hAnsi="Candara" w:cs="Times New Roman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70" w:rsidRPr="00547570" w:rsidRDefault="00547570" w:rsidP="00547570">
            <w:pPr>
              <w:spacing w:after="200" w:line="276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547570" w:rsidRPr="00547570" w:rsidTr="0054757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GENERAL INFORMATION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color w:val="548DD4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Language and Literature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693127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Contemporary Cosmopolitan Fiction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Type of course unit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vertAlign w:val="superscript"/>
              </w:rPr>
              <w:footnoteReference w:id="1"/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693127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O</w:t>
            </w:r>
            <w:r w:rsidR="00547570" w:rsidRPr="00547570">
              <w:rPr>
                <w:rFonts w:ascii="Candara" w:eastAsia="Times New Roman" w:hAnsi="Candara" w:cs="Times New Roman"/>
                <w:sz w:val="20"/>
                <w:szCs w:val="20"/>
              </w:rPr>
              <w:t>ptional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Level of course unit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693127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Third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Field of Study (please see ISCED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vertAlign w:val="superscript"/>
              </w:rPr>
              <w:footnoteReference w:id="3"/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Languages, Literature and Linguistics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vAlign w:val="center"/>
          </w:tcPr>
          <w:p w:rsidR="00547570" w:rsidRPr="00547570" w:rsidRDefault="00547570" w:rsidP="00547570">
            <w:pPr>
              <w:contextualSpacing/>
              <w:rPr>
                <w:rFonts w:ascii="Candara" w:eastAsia="Times New Roman" w:hAnsi="Candara" w:cs="Arial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547570" w:rsidRPr="00547570" w:rsidRDefault="00547570" w:rsidP="00547570">
            <w:pPr>
              <w:contextualSpacing/>
              <w:rPr>
                <w:rFonts w:ascii="Candara" w:eastAsia="Times New Roman" w:hAnsi="Candara" w:cs="Arial"/>
                <w:sz w:val="20"/>
                <w:szCs w:val="20"/>
              </w:rPr>
            </w:pPr>
            <w:r w:rsidRPr="00547570">
              <w:rPr>
                <w:rFonts w:ascii="Candara" w:eastAsia="Times New Roman" w:hAnsi="Candara" w:cs="Arial"/>
                <w:sz w:val="20"/>
                <w:szCs w:val="20"/>
              </w:rPr>
              <w:t>winter / summer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693127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10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 xml:space="preserve">Arijana 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Luburić Cvijanović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 xml:space="preserve">Arijana 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Luburić Cvijanović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Mode of course unit delivery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Face-to-face (possibility of distance learning)</w:t>
            </w:r>
          </w:p>
        </w:tc>
      </w:tr>
      <w:tr w:rsidR="00547570" w:rsidRPr="00547570" w:rsidTr="005C46B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B2 English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PURPOSE AND OVERVIEW (max 5-10 sentences)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vAlign w:val="center"/>
          </w:tcPr>
          <w:p w:rsidR="00547570" w:rsidRPr="00547570" w:rsidRDefault="00547570" w:rsidP="00693127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Students are introduced to </w:t>
            </w:r>
            <w:r w:rsidR="00693127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the development and features of cosmopolitan fiction, as well as its social and historical context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.</w:t>
            </w:r>
            <w:r w:rsidR="00693127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 New cosmopolitan fiction is discussed within the framework of relevant interdisciplinary theories: cosmopolitan theory, geocriticism, globalization theory.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LEARNING OUTCOMES (knowledge and skills)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47570" w:rsidRPr="00547570" w:rsidRDefault="00547570" w:rsidP="00E359EC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lastRenderedPageBreak/>
              <w:t xml:space="preserve">Students should gain knowledge on </w:t>
            </w:r>
            <w:r w:rsidR="00693127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some of the latest tendencies in contemporary fiction in English and theory, with special focus on the features of new cosmopolitan fiction which distinguish it </w:t>
            </w:r>
            <w:r w:rsidR="00E359EC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from</w:t>
            </w:r>
            <w:bookmarkStart w:id="0" w:name="_GoBack"/>
            <w:bookmarkEnd w:id="0"/>
            <w:r w:rsidR="00693127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 earlier forms of literary cosmopolitanism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.</w:t>
            </w:r>
            <w:r w:rsidR="00693127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SYLLABUS (outline and summary of topics)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47570" w:rsidRPr="00547570" w:rsidRDefault="00693127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>Past and present forms of literary cosmopolitanism in the light of cosmopolitan theory, geocriticism, and globalization theory. The contemporary cosmopolitan novel: social and historical context, definitions, and features. Fragmentary, kaleidoscopic forms. Redefinitions of place, space, time, and community. Migration and comopolitanism: privileged and underprivileged forms of migration and cosmopolitanism. Cosmopolitanism and globalization.</w:t>
            </w:r>
            <w:r w:rsidR="00547570"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 </w:t>
            </w:r>
          </w:p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  <w:lang w:val="sr-Latn-RS"/>
              </w:rPr>
              <w:t xml:space="preserve">Comparative analysis of selected novels: 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>David Mitchell,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 xml:space="preserve"> Cloud Atlas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>; Jeanette Winterson,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 xml:space="preserve"> The PowerBook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>; Salman Rushdie,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 xml:space="preserve"> The Ground Beneath Her Feet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 xml:space="preserve">; 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sr-Latn-RS"/>
              </w:rPr>
              <w:t>Hari Kunzru,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sr-Latn-RS"/>
              </w:rPr>
              <w:t xml:space="preserve"> Transmission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sr-Latn-RS"/>
              </w:rPr>
              <w:t xml:space="preserve">; 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 xml:space="preserve">Caryl Phillips, 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>The Nature of Blood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>; J. M. Coetzee,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 xml:space="preserve"> Diary of a Bad Year</w:t>
            </w:r>
            <w:r w:rsidR="00A61ABC" w:rsidRPr="00A61ABC">
              <w:rPr>
                <w:rFonts w:ascii="Candara" w:eastAsia="Times New Roman" w:hAnsi="Candara" w:cs="Times New Roman"/>
                <w:bCs/>
                <w:iCs/>
                <w:sz w:val="20"/>
                <w:szCs w:val="20"/>
                <w:lang w:val="en-GB"/>
              </w:rPr>
              <w:t>; Ann Marie Fleming,</w:t>
            </w:r>
            <w:r w:rsidR="00A61ABC" w:rsidRPr="00A61ABC">
              <w:rPr>
                <w:rFonts w:ascii="Candara" w:eastAsia="Times New Roman" w:hAnsi="Candara" w:cs="Times New Roman"/>
                <w:bCs/>
                <w:i/>
                <w:iCs/>
                <w:sz w:val="20"/>
                <w:szCs w:val="20"/>
                <w:lang w:val="en-GB"/>
              </w:rPr>
              <w:t xml:space="preserve"> The Magical Life of Long Tack Sam.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suppressAutoHyphens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LEARNING AND TEACHING (</w:t>
            </w: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 xml:space="preserve">planned learning activities and teaching methods) 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47570" w:rsidRPr="00547570" w:rsidRDefault="00547570" w:rsidP="00547570">
            <w:pPr>
              <w:suppressAutoHyphens/>
              <w:contextualSpacing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Lectures, interactive classes: comparative text analysis and discussion.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REQUIRED READING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61ABC" w:rsidRPr="00A61ABC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Berthold Schoene,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The Cosmopolitan Novel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Edinburgh: Edinburgh University Press, 2010.</w:t>
            </w:r>
          </w:p>
          <w:p w:rsidR="00A61ABC" w:rsidRPr="00A61ABC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Philip Leonard,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Literature After Globalization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London: Bloomsbury, 2014.</w:t>
            </w:r>
          </w:p>
          <w:p w:rsidR="00A61ABC" w:rsidRPr="00A61ABC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Vinay Dharwadker (ed.),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Cosmopolitan Geographies. New Locations in Literature and Culture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New York and London: Routledge, 2001.</w:t>
            </w:r>
          </w:p>
          <w:p w:rsidR="00A61ABC" w:rsidRPr="00A61ABC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Bertrand Westphal,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Geocriticism: Real and Fictional Spaces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New York: Palgrave Macmillan, 2011.</w:t>
            </w:r>
          </w:p>
          <w:p w:rsidR="00A61ABC" w:rsidRPr="00A61ABC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Liam Connell and Nicky Marsh (eds.),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Literature and Globalization: A Reader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New York: Routledge, 2011.</w:t>
            </w:r>
          </w:p>
          <w:p w:rsidR="00547570" w:rsidRPr="00547570" w:rsidRDefault="00A61ABC" w:rsidP="00A61ABC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 xml:space="preserve">Peter Boxall, </w:t>
            </w:r>
            <w:r w:rsidRPr="00A61ABC">
              <w:rPr>
                <w:rFonts w:ascii="Candara" w:eastAsia="Times New Roman" w:hAnsi="Candara" w:cs="Times New Roman"/>
                <w:bCs/>
                <w:i/>
                <w:sz w:val="20"/>
                <w:szCs w:val="20"/>
                <w:lang w:val="en-GB"/>
              </w:rPr>
              <w:t>Twenty-First-Century Fiction: A Critical Introduction</w:t>
            </w:r>
            <w:r w:rsidRPr="00A61ABC">
              <w:rPr>
                <w:rFonts w:ascii="Candara" w:eastAsia="Times New Roman" w:hAnsi="Candara" w:cs="Times New Roman"/>
                <w:bCs/>
                <w:sz w:val="20"/>
                <w:szCs w:val="20"/>
                <w:lang w:val="en-GB"/>
              </w:rPr>
              <w:t>, Cambridge: Cambridge University Press, 2013.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ASSESSMENT METHODS AND CRITERIA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Seminar paper (40 points)</w:t>
            </w:r>
          </w:p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Written exam (60 points)</w:t>
            </w:r>
          </w:p>
        </w:tc>
      </w:tr>
      <w:tr w:rsidR="00547570" w:rsidRPr="00547570" w:rsidTr="0054757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b/>
                <w:sz w:val="20"/>
                <w:szCs w:val="20"/>
              </w:rPr>
              <w:t>LANGUAGE OF INSTRUCTION</w:t>
            </w:r>
          </w:p>
        </w:tc>
      </w:tr>
      <w:tr w:rsidR="00547570" w:rsidRPr="00547570" w:rsidTr="005C46B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47570" w:rsidRPr="00547570" w:rsidRDefault="00547570" w:rsidP="00547570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47570">
              <w:rPr>
                <w:rFonts w:ascii="Candara" w:eastAsia="Times New Roman" w:hAnsi="Candara" w:cs="Times New Roman"/>
                <w:sz w:val="20"/>
                <w:szCs w:val="20"/>
              </w:rPr>
              <w:t>English</w:t>
            </w:r>
          </w:p>
        </w:tc>
      </w:tr>
    </w:tbl>
    <w:p w:rsidR="00547570" w:rsidRPr="00547570" w:rsidRDefault="00547570" w:rsidP="00547570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</w:rPr>
      </w:pPr>
    </w:p>
    <w:p w:rsidR="00547570" w:rsidRPr="00547570" w:rsidRDefault="00547570" w:rsidP="00547570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</w:rPr>
      </w:pPr>
    </w:p>
    <w:p w:rsidR="00AC28C4" w:rsidRDefault="00AC28C4"/>
    <w:sectPr w:rsidR="00AC28C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F5" w:rsidRDefault="008359F5" w:rsidP="00547570">
      <w:pPr>
        <w:spacing w:after="0" w:line="240" w:lineRule="auto"/>
      </w:pPr>
      <w:r>
        <w:separator/>
      </w:r>
    </w:p>
  </w:endnote>
  <w:endnote w:type="continuationSeparator" w:id="0">
    <w:p w:rsidR="008359F5" w:rsidRDefault="008359F5" w:rsidP="0054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F5" w:rsidRDefault="008359F5" w:rsidP="00547570">
      <w:pPr>
        <w:spacing w:after="0" w:line="240" w:lineRule="auto"/>
      </w:pPr>
      <w:r>
        <w:separator/>
      </w:r>
    </w:p>
  </w:footnote>
  <w:footnote w:type="continuationSeparator" w:id="0">
    <w:p w:rsidR="008359F5" w:rsidRDefault="008359F5" w:rsidP="00547570">
      <w:pPr>
        <w:spacing w:after="0" w:line="240" w:lineRule="auto"/>
      </w:pPr>
      <w:r>
        <w:continuationSeparator/>
      </w:r>
    </w:p>
  </w:footnote>
  <w:footnote w:id="1">
    <w:p w:rsidR="00547570" w:rsidRPr="00547570" w:rsidRDefault="00547570" w:rsidP="00547570">
      <w:pPr>
        <w:pStyle w:val="FootnoteText"/>
        <w:rPr>
          <w:rFonts w:ascii="Calibri" w:hAnsi="Calibri"/>
          <w:sz w:val="18"/>
          <w:szCs w:val="18"/>
        </w:rPr>
      </w:pPr>
      <w:r w:rsidRPr="00547570">
        <w:rPr>
          <w:rStyle w:val="FootnoteReference"/>
          <w:rFonts w:ascii="Calibri" w:hAnsi="Calibri"/>
          <w:sz w:val="18"/>
          <w:szCs w:val="18"/>
        </w:rPr>
        <w:footnoteRef/>
      </w:r>
      <w:r w:rsidRPr="00547570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47570" w:rsidRPr="00547570" w:rsidRDefault="00547570" w:rsidP="00547570">
      <w:pPr>
        <w:pStyle w:val="FootnoteText"/>
        <w:rPr>
          <w:rFonts w:ascii="Calibri" w:hAnsi="Calibri"/>
          <w:sz w:val="18"/>
          <w:szCs w:val="18"/>
        </w:rPr>
      </w:pPr>
      <w:r w:rsidRPr="00547570">
        <w:rPr>
          <w:rStyle w:val="FootnoteReference"/>
          <w:rFonts w:ascii="Calibri" w:hAnsi="Calibri"/>
          <w:sz w:val="18"/>
          <w:szCs w:val="18"/>
        </w:rPr>
        <w:footnoteRef/>
      </w:r>
      <w:r w:rsidRPr="00547570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547570" w:rsidRPr="00C60C45" w:rsidRDefault="00547570" w:rsidP="00547570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47570">
        <w:rPr>
          <w:rFonts w:ascii="Calibri" w:hAnsi="Calibri"/>
          <w:sz w:val="18"/>
          <w:szCs w:val="18"/>
        </w:rPr>
        <w:t xml:space="preserve">ISCED-F 2013 - </w:t>
      </w:r>
      <w:hyperlink r:id="rId1" w:history="1">
        <w:r w:rsidRPr="00547570">
          <w:rPr>
            <w:rStyle w:val="Hyperlink1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 w:rsidRPr="00547570"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547570" w:rsidRPr="00547570" w:rsidRDefault="00547570" w:rsidP="00547570">
      <w:pPr>
        <w:pStyle w:val="FootnoteText"/>
        <w:rPr>
          <w:rFonts w:ascii="Calibri" w:hAnsi="Calibri"/>
          <w:sz w:val="18"/>
          <w:szCs w:val="18"/>
        </w:rPr>
      </w:pPr>
      <w:r w:rsidRPr="00547570">
        <w:rPr>
          <w:rStyle w:val="FootnoteReference"/>
          <w:rFonts w:ascii="Calibri" w:hAnsi="Calibri"/>
          <w:sz w:val="18"/>
          <w:szCs w:val="18"/>
        </w:rPr>
        <w:footnoteRef/>
      </w:r>
      <w:r w:rsidRPr="00547570">
        <w:rPr>
          <w:rFonts w:ascii="Calibri" w:hAnsi="Calibri"/>
          <w:sz w:val="18"/>
          <w:szCs w:val="18"/>
        </w:rPr>
        <w:t xml:space="preserve"> 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70"/>
    <w:rsid w:val="00547570"/>
    <w:rsid w:val="00693127"/>
    <w:rsid w:val="008359F5"/>
    <w:rsid w:val="009A127A"/>
    <w:rsid w:val="00A61ABC"/>
    <w:rsid w:val="00AC28C4"/>
    <w:rsid w:val="00E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F67"/>
  <w15:chartTrackingRefBased/>
  <w15:docId w15:val="{933536E0-20A1-4D7D-ADB2-41B12E8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757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57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570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547570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4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Luburić Cvijanović</dc:creator>
  <cp:keywords/>
  <dc:description/>
  <cp:lastModifiedBy>Arijana Luburić Cvijanović</cp:lastModifiedBy>
  <cp:revision>3</cp:revision>
  <dcterms:created xsi:type="dcterms:W3CDTF">2017-07-18T12:48:00Z</dcterms:created>
  <dcterms:modified xsi:type="dcterms:W3CDTF">2017-07-18T13:09:00Z</dcterms:modified>
</cp:coreProperties>
</file>